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EA5AF" w14:textId="77777777" w:rsidR="006D3C63" w:rsidRPr="00570D69" w:rsidRDefault="003868DD" w:rsidP="00483361">
      <w:pPr>
        <w:pStyle w:val="Title"/>
        <w:rPr>
          <w:rFonts w:ascii="Century Gothic" w:hAnsi="Century Gothic" w:cs="Arial"/>
          <w:sz w:val="36"/>
          <w:szCs w:val="36"/>
        </w:rPr>
      </w:pPr>
      <w:bookmarkStart w:id="0" w:name="TOP"/>
      <w:r w:rsidRPr="00570D69">
        <w:rPr>
          <w:rFonts w:ascii="Century Gothic" w:hAnsi="Century Gothic" w:cs="Arial"/>
          <w:sz w:val="36"/>
          <w:szCs w:val="36"/>
        </w:rPr>
        <w:t>Cash Management Improvement Act of 1990</w:t>
      </w:r>
      <w:bookmarkEnd w:id="0"/>
    </w:p>
    <w:p w14:paraId="52C6FC9F" w14:textId="77777777" w:rsidR="00F25795" w:rsidRPr="00570D69" w:rsidRDefault="00F25795" w:rsidP="006D3C63">
      <w:pPr>
        <w:spacing w:before="100" w:beforeAutospacing="1" w:after="100" w:afterAutospacing="1"/>
        <w:ind w:left="-360" w:firstLine="360"/>
        <w:outlineLvl w:val="1"/>
        <w:rPr>
          <w:rFonts w:ascii="Century Gothic" w:hAnsi="Century Gothic"/>
          <w:b/>
          <w:bCs/>
          <w:sz w:val="26"/>
          <w:szCs w:val="26"/>
        </w:rPr>
      </w:pPr>
    </w:p>
    <w:p w14:paraId="36D635A1" w14:textId="77777777" w:rsidR="003868DD" w:rsidRPr="00570D69" w:rsidRDefault="003868DD" w:rsidP="00483361">
      <w:pPr>
        <w:pStyle w:val="Heading1"/>
        <w:rPr>
          <w:rFonts w:ascii="Century Gothic" w:hAnsi="Century Gothic"/>
          <w:sz w:val="28"/>
          <w:szCs w:val="28"/>
        </w:rPr>
      </w:pPr>
      <w:r w:rsidRPr="00570D69">
        <w:rPr>
          <w:rFonts w:ascii="Century Gothic" w:hAnsi="Century Gothic"/>
          <w:sz w:val="28"/>
          <w:szCs w:val="28"/>
        </w:rPr>
        <w:t>General Information</w:t>
      </w:r>
    </w:p>
    <w:p w14:paraId="52D44178" w14:textId="77777777" w:rsidR="003868DD" w:rsidRPr="00570D69" w:rsidRDefault="003868DD" w:rsidP="00483361">
      <w:pPr>
        <w:pStyle w:val="Heading2"/>
        <w:rPr>
          <w:rFonts w:ascii="Century Gothic" w:hAnsi="Century Gothic" w:cs="Arial"/>
          <w:color w:val="auto"/>
          <w:sz w:val="24"/>
          <w:szCs w:val="24"/>
        </w:rPr>
      </w:pPr>
      <w:r w:rsidRPr="00570D69">
        <w:rPr>
          <w:rFonts w:ascii="Century Gothic" w:hAnsi="Century Gothic" w:cs="Arial"/>
          <w:color w:val="auto"/>
          <w:sz w:val="24"/>
          <w:szCs w:val="24"/>
        </w:rPr>
        <w:t xml:space="preserve">Description/Major Provisions: </w:t>
      </w:r>
    </w:p>
    <w:p w14:paraId="33E08C95" w14:textId="77777777" w:rsidR="003868DD" w:rsidRPr="00570D69" w:rsidRDefault="003868DD" w:rsidP="003868DD">
      <w:pPr>
        <w:spacing w:beforeAutospacing="1" w:after="100" w:afterAutospacing="1"/>
        <w:rPr>
          <w:rFonts w:ascii="Century Gothic" w:hAnsi="Century Gothic"/>
          <w:sz w:val="24"/>
          <w:szCs w:val="24"/>
        </w:rPr>
      </w:pPr>
      <w:r w:rsidRPr="00570D69">
        <w:rPr>
          <w:rFonts w:ascii="Century Gothic" w:hAnsi="Century Gothic"/>
          <w:sz w:val="24"/>
          <w:szCs w:val="24"/>
        </w:rPr>
        <w:t xml:space="preserve">The federal government enacted the Cash Management Improvement Act of 1990 </w:t>
      </w:r>
      <w:r w:rsidRPr="00570D69">
        <w:rPr>
          <w:rFonts w:ascii="Century Gothic" w:hAnsi="Century Gothic"/>
          <w:b/>
          <w:bCs/>
          <w:sz w:val="24"/>
          <w:szCs w:val="24"/>
        </w:rPr>
        <w:t>(CMIA)</w:t>
      </w:r>
      <w:r w:rsidRPr="00570D69">
        <w:rPr>
          <w:rFonts w:ascii="Century Gothic" w:hAnsi="Century Gothic"/>
          <w:sz w:val="24"/>
          <w:szCs w:val="24"/>
        </w:rPr>
        <w:t xml:space="preserve"> to ensure greater </w:t>
      </w:r>
      <w:r w:rsidRPr="00570D69">
        <w:rPr>
          <w:rFonts w:ascii="Century Gothic" w:hAnsi="Century Gothic"/>
          <w:b/>
          <w:bCs/>
          <w:sz w:val="24"/>
          <w:szCs w:val="24"/>
        </w:rPr>
        <w:t>efficiency, effectiveness,</w:t>
      </w:r>
      <w:r w:rsidRPr="00570D69">
        <w:rPr>
          <w:rFonts w:ascii="Century Gothic" w:hAnsi="Century Gothic"/>
          <w:sz w:val="24"/>
          <w:szCs w:val="24"/>
        </w:rPr>
        <w:t xml:space="preserve"> and </w:t>
      </w:r>
      <w:r w:rsidRPr="00570D69">
        <w:rPr>
          <w:rFonts w:ascii="Century Gothic" w:hAnsi="Century Gothic"/>
          <w:b/>
          <w:bCs/>
          <w:sz w:val="24"/>
          <w:szCs w:val="24"/>
        </w:rPr>
        <w:t>equity</w:t>
      </w:r>
      <w:r w:rsidRPr="00570D69">
        <w:rPr>
          <w:rFonts w:ascii="Century Gothic" w:hAnsi="Century Gothic"/>
          <w:sz w:val="24"/>
          <w:szCs w:val="24"/>
        </w:rPr>
        <w:t xml:space="preserve"> in the exchange of funds between the federal government and the states, territories, and the </w:t>
      </w:r>
      <w:smartTag w:uri="urn:schemas-microsoft-com:office:smarttags" w:element="State">
        <w:smartTag w:uri="urn:schemas-microsoft-com:office:smarttags" w:element="place">
          <w:r w:rsidRPr="00570D69">
            <w:rPr>
              <w:rFonts w:ascii="Century Gothic" w:hAnsi="Century Gothic"/>
              <w:sz w:val="24"/>
              <w:szCs w:val="24"/>
            </w:rPr>
            <w:t>District of Columbia</w:t>
          </w:r>
        </w:smartTag>
      </w:smartTag>
      <w:r w:rsidRPr="00570D69">
        <w:rPr>
          <w:rFonts w:ascii="Century Gothic" w:hAnsi="Century Gothic"/>
          <w:sz w:val="24"/>
          <w:szCs w:val="24"/>
        </w:rPr>
        <w:t>. The CMIA regulations require the calculation of an interest liability due to the federal government when the state receives federal funds in advance of disbursement to vendors, subrecipients, or program participants. Similarly, when the state incurs costs for federal programs prior to receiving federal funds, the CMIA allows the state to calculate interest due from the federal government. To implement the CMIA, the federal government prescribed regulations for the transfer of funds for federal programs between the federal government and the state.</w:t>
      </w:r>
    </w:p>
    <w:p w14:paraId="487E10DC" w14:textId="6D19590A" w:rsidR="003868DD" w:rsidRPr="00570D69" w:rsidRDefault="003868DD" w:rsidP="003868DD">
      <w:pPr>
        <w:spacing w:before="100" w:beforeAutospacing="1" w:afterAutospacing="1"/>
        <w:rPr>
          <w:rFonts w:ascii="Century Gothic" w:hAnsi="Century Gothic"/>
          <w:sz w:val="24"/>
          <w:szCs w:val="24"/>
        </w:rPr>
      </w:pPr>
      <w:r w:rsidRPr="00570D69">
        <w:rPr>
          <w:rFonts w:ascii="Century Gothic" w:hAnsi="Century Gothic"/>
          <w:sz w:val="24"/>
          <w:szCs w:val="24"/>
        </w:rPr>
        <w:t xml:space="preserve">The CMIA requires an annual Treasury-State Agreement </w:t>
      </w:r>
      <w:r w:rsidRPr="00570D69">
        <w:rPr>
          <w:rFonts w:ascii="Century Gothic" w:hAnsi="Century Gothic"/>
          <w:b/>
          <w:bCs/>
          <w:sz w:val="24"/>
          <w:szCs w:val="24"/>
        </w:rPr>
        <w:t>(TSA)</w:t>
      </w:r>
      <w:r w:rsidRPr="00570D69">
        <w:rPr>
          <w:rFonts w:ascii="Century Gothic" w:hAnsi="Century Gothic"/>
          <w:sz w:val="24"/>
          <w:szCs w:val="24"/>
        </w:rPr>
        <w:t xml:space="preserve"> between the U.S. Department of the Treasury, </w:t>
      </w:r>
      <w:r w:rsidR="00CB6E4C" w:rsidRPr="00570D69">
        <w:rPr>
          <w:rFonts w:ascii="Century Gothic" w:hAnsi="Century Gothic"/>
          <w:sz w:val="24"/>
          <w:szCs w:val="24"/>
        </w:rPr>
        <w:t>Bureau of the Fiscal Service</w:t>
      </w:r>
      <w:r w:rsidRPr="00570D69">
        <w:rPr>
          <w:rFonts w:ascii="Century Gothic" w:hAnsi="Century Gothic"/>
          <w:sz w:val="24"/>
          <w:szCs w:val="24"/>
        </w:rPr>
        <w:t xml:space="preserve">, and the State of California, Department of Finance. </w:t>
      </w:r>
      <w:proofErr w:type="gramStart"/>
      <w:r w:rsidRPr="00570D69">
        <w:rPr>
          <w:rFonts w:ascii="Century Gothic" w:hAnsi="Century Gothic"/>
          <w:sz w:val="24"/>
          <w:szCs w:val="24"/>
        </w:rPr>
        <w:t>The TSA</w:t>
      </w:r>
      <w:proofErr w:type="gramEnd"/>
      <w:r w:rsidRPr="00570D69">
        <w:rPr>
          <w:rFonts w:ascii="Century Gothic" w:hAnsi="Century Gothic"/>
          <w:sz w:val="24"/>
          <w:szCs w:val="24"/>
        </w:rPr>
        <w:t xml:space="preserve"> covers federal programs that meet the funding threshold established each year ($</w:t>
      </w:r>
      <w:r w:rsidR="00C94C3F" w:rsidRPr="00570D69">
        <w:rPr>
          <w:rFonts w:ascii="Century Gothic" w:hAnsi="Century Gothic"/>
          <w:sz w:val="24"/>
          <w:szCs w:val="24"/>
        </w:rPr>
        <w:t>479</w:t>
      </w:r>
      <w:r w:rsidR="00B20DC3" w:rsidRPr="00570D69">
        <w:rPr>
          <w:rFonts w:ascii="Century Gothic" w:hAnsi="Century Gothic"/>
          <w:sz w:val="24"/>
          <w:szCs w:val="24"/>
        </w:rPr>
        <w:t xml:space="preserve"> million</w:t>
      </w:r>
      <w:r w:rsidRPr="00570D69">
        <w:rPr>
          <w:rFonts w:ascii="Century Gothic" w:hAnsi="Century Gothic"/>
          <w:sz w:val="24"/>
          <w:szCs w:val="24"/>
        </w:rPr>
        <w:t xml:space="preserve"> for fiscal year </w:t>
      </w:r>
      <w:r w:rsidR="00AD59CE" w:rsidRPr="00570D69">
        <w:rPr>
          <w:rFonts w:ascii="Century Gothic" w:hAnsi="Century Gothic"/>
          <w:sz w:val="24"/>
          <w:szCs w:val="24"/>
        </w:rPr>
        <w:t>202</w:t>
      </w:r>
      <w:r w:rsidR="00C94C3F" w:rsidRPr="00570D69">
        <w:rPr>
          <w:rFonts w:ascii="Century Gothic" w:hAnsi="Century Gothic"/>
          <w:sz w:val="24"/>
          <w:szCs w:val="24"/>
        </w:rPr>
        <w:t>5</w:t>
      </w:r>
      <w:r w:rsidR="00AD59CE" w:rsidRPr="00570D69">
        <w:rPr>
          <w:rFonts w:ascii="Century Gothic" w:hAnsi="Century Gothic"/>
          <w:sz w:val="24"/>
          <w:szCs w:val="24"/>
        </w:rPr>
        <w:t>-2</w:t>
      </w:r>
      <w:r w:rsidR="00C94C3F" w:rsidRPr="00570D69">
        <w:rPr>
          <w:rFonts w:ascii="Century Gothic" w:hAnsi="Century Gothic"/>
          <w:sz w:val="24"/>
          <w:szCs w:val="24"/>
        </w:rPr>
        <w:t>6</w:t>
      </w:r>
      <w:r w:rsidRPr="00570D69">
        <w:rPr>
          <w:rFonts w:ascii="Century Gothic" w:hAnsi="Century Gothic"/>
          <w:sz w:val="24"/>
          <w:szCs w:val="24"/>
        </w:rPr>
        <w:t>) and establishes the procedures and requirements for the transfer of funds. These procedures require the state to calculate federal and state interest liabilities for these programs and to annually report the liabilities to the federal government. Any interest owed by the state for the preceding fiscal year is due to the federal government no later than March 31 of the following fiscal year.</w:t>
      </w:r>
    </w:p>
    <w:p w14:paraId="2759B4DF" w14:textId="77777777" w:rsidR="003868DD" w:rsidRPr="00570D69" w:rsidRDefault="003868DD" w:rsidP="00483361">
      <w:pPr>
        <w:pStyle w:val="Heading2"/>
        <w:rPr>
          <w:rFonts w:ascii="Century Gothic" w:hAnsi="Century Gothic" w:cs="Arial"/>
          <w:color w:val="auto"/>
          <w:sz w:val="24"/>
          <w:szCs w:val="24"/>
        </w:rPr>
      </w:pPr>
      <w:r w:rsidRPr="00570D69">
        <w:rPr>
          <w:rFonts w:ascii="Century Gothic" w:hAnsi="Century Gothic" w:cs="Arial"/>
          <w:color w:val="auto"/>
          <w:sz w:val="24"/>
          <w:szCs w:val="24"/>
        </w:rPr>
        <w:t xml:space="preserve">Authority: </w:t>
      </w:r>
    </w:p>
    <w:p w14:paraId="377C8689" w14:textId="77777777" w:rsidR="003868DD" w:rsidRPr="00570D69" w:rsidRDefault="003868DD" w:rsidP="003868DD">
      <w:pPr>
        <w:spacing w:beforeAutospacing="1" w:after="100" w:afterAutospacing="1"/>
        <w:rPr>
          <w:rFonts w:ascii="Century Gothic" w:hAnsi="Century Gothic"/>
          <w:sz w:val="24"/>
          <w:szCs w:val="24"/>
        </w:rPr>
      </w:pPr>
      <w:r w:rsidRPr="00570D69">
        <w:rPr>
          <w:rFonts w:ascii="Century Gothic" w:hAnsi="Century Gothic"/>
          <w:sz w:val="24"/>
          <w:szCs w:val="24"/>
        </w:rPr>
        <w:t>Federal Statute:</w:t>
      </w:r>
    </w:p>
    <w:p w14:paraId="3F420019" w14:textId="77777777" w:rsidR="003868DD" w:rsidRPr="00570D69" w:rsidRDefault="003868DD" w:rsidP="003868DD">
      <w:pPr>
        <w:spacing w:before="100" w:beforeAutospacing="1" w:after="100" w:afterAutospacing="1"/>
        <w:rPr>
          <w:rFonts w:ascii="Century Gothic" w:hAnsi="Century Gothic"/>
          <w:sz w:val="24"/>
          <w:szCs w:val="24"/>
        </w:rPr>
      </w:pPr>
      <w:r w:rsidRPr="00570D69">
        <w:rPr>
          <w:rFonts w:ascii="Century Gothic" w:hAnsi="Century Gothic"/>
          <w:sz w:val="24"/>
          <w:szCs w:val="24"/>
        </w:rPr>
        <w:t xml:space="preserve">Cash Management Improvement Act of 1990, Public Law 101-453, 31 U.S.C. 3335 and 6503 and Cash Management Improvement Act Amendments of 1992, Public Law 102-589, 31 U.S.C. 3335, 6501, and 6503; Single Audit Amendments of 1996, 31 U.S.C. Ch. 75; Executive Order 12866 of September 30, 1993, Regulatory Planning and Review; and the Debt Collection Improvement Act of 1996. Implementing CMIA regulations are in </w:t>
      </w:r>
      <w:hyperlink r:id="rId8" w:history="1">
        <w:r w:rsidRPr="00570D69">
          <w:rPr>
            <w:rFonts w:ascii="Century Gothic" w:hAnsi="Century Gothic"/>
            <w:sz w:val="24"/>
            <w:szCs w:val="24"/>
          </w:rPr>
          <w:t>31 CFR Part 205</w:t>
        </w:r>
      </w:hyperlink>
      <w:r w:rsidRPr="00570D69">
        <w:rPr>
          <w:rFonts w:ascii="Century Gothic" w:hAnsi="Century Gothic"/>
          <w:sz w:val="24"/>
          <w:szCs w:val="24"/>
        </w:rPr>
        <w:t>.</w:t>
      </w:r>
    </w:p>
    <w:p w14:paraId="620AA01D" w14:textId="77777777" w:rsidR="003868DD" w:rsidRPr="00570D69" w:rsidRDefault="003868DD" w:rsidP="003868DD">
      <w:pPr>
        <w:spacing w:before="100" w:beforeAutospacing="1" w:after="100" w:afterAutospacing="1"/>
        <w:rPr>
          <w:rFonts w:ascii="Century Gothic" w:hAnsi="Century Gothic"/>
          <w:sz w:val="24"/>
          <w:szCs w:val="24"/>
        </w:rPr>
      </w:pPr>
      <w:r w:rsidRPr="00570D69">
        <w:rPr>
          <w:rFonts w:ascii="Century Gothic" w:hAnsi="Century Gothic"/>
          <w:sz w:val="24"/>
          <w:szCs w:val="24"/>
        </w:rPr>
        <w:t>State Policy:</w:t>
      </w:r>
    </w:p>
    <w:p w14:paraId="4CAD5AFE" w14:textId="77777777" w:rsidR="003868DD" w:rsidRPr="00570D69" w:rsidRDefault="003868DD" w:rsidP="003868DD">
      <w:pPr>
        <w:spacing w:before="100" w:beforeAutospacing="1" w:afterAutospacing="1"/>
        <w:rPr>
          <w:rFonts w:ascii="Century Gothic" w:hAnsi="Century Gothic"/>
          <w:sz w:val="24"/>
          <w:szCs w:val="24"/>
        </w:rPr>
      </w:pPr>
      <w:r w:rsidRPr="00570D69">
        <w:rPr>
          <w:rFonts w:ascii="Century Gothic" w:hAnsi="Century Gothic"/>
          <w:sz w:val="24"/>
          <w:szCs w:val="24"/>
        </w:rPr>
        <w:t xml:space="preserve">Statewide policy is described in </w:t>
      </w:r>
      <w:hyperlink r:id="rId9" w:history="1">
        <w:r w:rsidRPr="00570D69">
          <w:rPr>
            <w:rFonts w:ascii="Century Gothic" w:hAnsi="Century Gothic"/>
            <w:sz w:val="24"/>
            <w:szCs w:val="24"/>
          </w:rPr>
          <w:t>California’s State Administrative Manual</w:t>
        </w:r>
      </w:hyperlink>
      <w:r w:rsidRPr="00570D69">
        <w:rPr>
          <w:rFonts w:ascii="Century Gothic" w:hAnsi="Century Gothic"/>
          <w:sz w:val="24"/>
          <w:szCs w:val="24"/>
        </w:rPr>
        <w:t xml:space="preserve"> (SAM) Sections 8010 through 8014.</w:t>
      </w:r>
    </w:p>
    <w:p w14:paraId="31888FAD" w14:textId="77777777" w:rsidR="005465F6" w:rsidRPr="00570D69" w:rsidRDefault="005465F6" w:rsidP="005E0D52">
      <w:pPr>
        <w:spacing w:before="100" w:beforeAutospacing="1" w:afterAutospacing="1"/>
        <w:rPr>
          <w:rFonts w:ascii="Century Gothic" w:hAnsi="Century Gothic"/>
          <w:sz w:val="24"/>
          <w:szCs w:val="24"/>
        </w:rPr>
      </w:pPr>
    </w:p>
    <w:p w14:paraId="5EFCABAC" w14:textId="77777777" w:rsidR="005465F6" w:rsidRPr="00570D69" w:rsidRDefault="002A20FB" w:rsidP="002A20FB">
      <w:pPr>
        <w:pStyle w:val="Heading1"/>
        <w:rPr>
          <w:rFonts w:ascii="Century Gothic" w:hAnsi="Century Gothic"/>
          <w:sz w:val="28"/>
          <w:szCs w:val="28"/>
        </w:rPr>
      </w:pPr>
      <w:r w:rsidRPr="00570D69">
        <w:rPr>
          <w:rFonts w:ascii="Century Gothic" w:hAnsi="Century Gothic"/>
          <w:sz w:val="28"/>
          <w:szCs w:val="28"/>
        </w:rPr>
        <w:t>Responsibilities:</w:t>
      </w:r>
    </w:p>
    <w:p w14:paraId="1E52DECC" w14:textId="77777777" w:rsidR="003868DD" w:rsidRPr="00570D69" w:rsidRDefault="003868DD" w:rsidP="005465F6">
      <w:pPr>
        <w:pStyle w:val="Heading2"/>
        <w:rPr>
          <w:rFonts w:ascii="Century Gothic" w:hAnsi="Century Gothic" w:cs="Arial"/>
          <w:color w:val="auto"/>
          <w:sz w:val="24"/>
          <w:szCs w:val="24"/>
        </w:rPr>
      </w:pPr>
      <w:r w:rsidRPr="00570D69">
        <w:rPr>
          <w:rFonts w:ascii="Century Gothic" w:hAnsi="Century Gothic" w:cs="Arial"/>
          <w:color w:val="auto"/>
          <w:sz w:val="24"/>
          <w:szCs w:val="24"/>
        </w:rPr>
        <w:t>State Department Responsibilities:</w:t>
      </w:r>
    </w:p>
    <w:p w14:paraId="6C39EE81" w14:textId="77777777" w:rsidR="003868DD" w:rsidRPr="00570D69" w:rsidRDefault="003868DD" w:rsidP="003868DD">
      <w:pPr>
        <w:spacing w:before="100" w:beforeAutospacing="1" w:after="100" w:afterAutospacing="1"/>
        <w:rPr>
          <w:rFonts w:ascii="Century Gothic" w:hAnsi="Century Gothic"/>
          <w:sz w:val="24"/>
          <w:szCs w:val="24"/>
        </w:rPr>
      </w:pPr>
      <w:r w:rsidRPr="00570D69">
        <w:rPr>
          <w:rFonts w:ascii="Century Gothic" w:hAnsi="Century Gothic"/>
          <w:sz w:val="24"/>
          <w:szCs w:val="24"/>
        </w:rPr>
        <w:t>Any state department that e</w:t>
      </w:r>
      <w:r w:rsidR="00A3658B" w:rsidRPr="00570D69">
        <w:rPr>
          <w:rFonts w:ascii="Century Gothic" w:hAnsi="Century Gothic"/>
          <w:sz w:val="24"/>
          <w:szCs w:val="24"/>
        </w:rPr>
        <w:t>xceeds the</w:t>
      </w:r>
      <w:r w:rsidRPr="00570D69">
        <w:rPr>
          <w:rFonts w:ascii="Century Gothic" w:hAnsi="Century Gothic"/>
          <w:sz w:val="24"/>
          <w:szCs w:val="24"/>
        </w:rPr>
        <w:t xml:space="preserve"> federal fund</w:t>
      </w:r>
      <w:r w:rsidR="00A3658B" w:rsidRPr="00570D69">
        <w:rPr>
          <w:rFonts w:ascii="Century Gothic" w:hAnsi="Century Gothic"/>
          <w:sz w:val="24"/>
          <w:szCs w:val="24"/>
        </w:rPr>
        <w:t>ing thre</w:t>
      </w:r>
      <w:r w:rsidRPr="00570D69">
        <w:rPr>
          <w:rFonts w:ascii="Century Gothic" w:hAnsi="Century Gothic"/>
          <w:sz w:val="24"/>
          <w:szCs w:val="24"/>
        </w:rPr>
        <w:t>s</w:t>
      </w:r>
      <w:r w:rsidR="00A3658B" w:rsidRPr="00570D69">
        <w:rPr>
          <w:rFonts w:ascii="Century Gothic" w:hAnsi="Century Gothic"/>
          <w:sz w:val="24"/>
          <w:szCs w:val="24"/>
        </w:rPr>
        <w:t>hold is required to provide</w:t>
      </w:r>
      <w:r w:rsidRPr="00570D69">
        <w:rPr>
          <w:rFonts w:ascii="Century Gothic" w:hAnsi="Century Gothic"/>
          <w:sz w:val="24"/>
          <w:szCs w:val="24"/>
        </w:rPr>
        <w:t xml:space="preserve"> quarterly expenditures and payment receipt dates to the Department of Finance, Fiscal Systems and Consulting Unit (FSCU).</w:t>
      </w:r>
    </w:p>
    <w:p w14:paraId="057FC620" w14:textId="77777777" w:rsidR="003868DD" w:rsidRPr="00570D69" w:rsidRDefault="003868DD" w:rsidP="005465F6">
      <w:pPr>
        <w:pStyle w:val="Heading2"/>
        <w:rPr>
          <w:rFonts w:ascii="Century Gothic" w:hAnsi="Century Gothic" w:cs="Arial"/>
          <w:color w:val="auto"/>
          <w:sz w:val="24"/>
          <w:szCs w:val="24"/>
        </w:rPr>
      </w:pPr>
      <w:r w:rsidRPr="00570D69">
        <w:rPr>
          <w:rFonts w:ascii="Century Gothic" w:hAnsi="Century Gothic" w:cs="Arial"/>
          <w:color w:val="auto"/>
          <w:sz w:val="24"/>
          <w:szCs w:val="24"/>
        </w:rPr>
        <w:t>Department of Finance Responsibilities:</w:t>
      </w:r>
    </w:p>
    <w:p w14:paraId="11E06576" w14:textId="77777777" w:rsidR="003868DD" w:rsidRPr="00570D69" w:rsidRDefault="003868DD" w:rsidP="003868DD">
      <w:pPr>
        <w:spacing w:before="100" w:beforeAutospacing="1" w:afterAutospacing="1"/>
        <w:rPr>
          <w:rFonts w:ascii="Century Gothic" w:hAnsi="Century Gothic"/>
          <w:sz w:val="24"/>
          <w:szCs w:val="24"/>
        </w:rPr>
      </w:pPr>
      <w:r w:rsidRPr="00570D69">
        <w:rPr>
          <w:rFonts w:ascii="Century Gothic" w:hAnsi="Century Gothic"/>
          <w:sz w:val="24"/>
          <w:szCs w:val="24"/>
        </w:rPr>
        <w:t>From the information received from the departments, FSCU develops, for each program covered by the TSA, an average number of days that federal funds were in the State Treasury. To determine the state and federal interest liability, the average number of days is multiplied by the CMIA interest rate (annualized 13-week Treasury Bill rate) and the total program expenditures reported.</w:t>
      </w:r>
    </w:p>
    <w:p w14:paraId="68A11D4E" w14:textId="77777777" w:rsidR="003868DD" w:rsidRPr="00570D69" w:rsidRDefault="003868DD" w:rsidP="00E56769">
      <w:pPr>
        <w:numPr>
          <w:ilvl w:val="0"/>
          <w:numId w:val="11"/>
        </w:numPr>
        <w:rPr>
          <w:rFonts w:ascii="Century Gothic" w:hAnsi="Century Gothic"/>
          <w:b/>
          <w:sz w:val="24"/>
          <w:szCs w:val="24"/>
        </w:rPr>
      </w:pPr>
      <w:r w:rsidRPr="00570D69">
        <w:rPr>
          <w:rFonts w:ascii="Century Gothic" w:hAnsi="Century Gothic"/>
          <w:b/>
          <w:sz w:val="24"/>
          <w:szCs w:val="24"/>
        </w:rPr>
        <w:t xml:space="preserve">Interest Payment: </w:t>
      </w:r>
    </w:p>
    <w:p w14:paraId="07EE3772" w14:textId="77777777" w:rsidR="003868DD" w:rsidRPr="00570D69" w:rsidRDefault="003868DD" w:rsidP="003868DD">
      <w:pPr>
        <w:spacing w:beforeAutospacing="1" w:afterAutospacing="1"/>
        <w:rPr>
          <w:rFonts w:ascii="Century Gothic" w:hAnsi="Century Gothic"/>
          <w:sz w:val="24"/>
          <w:szCs w:val="24"/>
        </w:rPr>
      </w:pPr>
      <w:r w:rsidRPr="00570D69">
        <w:rPr>
          <w:rFonts w:ascii="Century Gothic" w:hAnsi="Century Gothic"/>
          <w:sz w:val="24"/>
          <w:szCs w:val="24"/>
        </w:rPr>
        <w:t>The fund that earns interest from federal money on deposit in the State Treasury pays the interest liability. Budget Act Item 9625, Interest Payments to the Federal Government, authorizes the interest payment from the applicable funds.</w:t>
      </w:r>
    </w:p>
    <w:p w14:paraId="58D1B86D" w14:textId="77777777" w:rsidR="003868DD" w:rsidRPr="00570D69" w:rsidRDefault="00E56769" w:rsidP="00E56769">
      <w:pPr>
        <w:numPr>
          <w:ilvl w:val="0"/>
          <w:numId w:val="11"/>
        </w:numPr>
        <w:rPr>
          <w:rFonts w:ascii="Century Gothic" w:hAnsi="Century Gothic"/>
          <w:b/>
          <w:sz w:val="24"/>
          <w:szCs w:val="24"/>
        </w:rPr>
      </w:pPr>
      <w:r w:rsidRPr="00570D69">
        <w:rPr>
          <w:rFonts w:ascii="Century Gothic" w:hAnsi="Century Gothic"/>
          <w:b/>
          <w:sz w:val="24"/>
          <w:szCs w:val="24"/>
        </w:rPr>
        <w:t>CMIA Training:</w:t>
      </w:r>
    </w:p>
    <w:p w14:paraId="009D074B" w14:textId="72BC95DE" w:rsidR="003868DD" w:rsidRPr="00570D69" w:rsidRDefault="003868DD" w:rsidP="003868DD">
      <w:pPr>
        <w:spacing w:beforeAutospacing="1" w:afterAutospacing="1"/>
        <w:rPr>
          <w:rFonts w:ascii="Century Gothic" w:hAnsi="Century Gothic"/>
          <w:sz w:val="24"/>
          <w:szCs w:val="24"/>
        </w:rPr>
      </w:pPr>
      <w:r w:rsidRPr="00570D69">
        <w:rPr>
          <w:rFonts w:ascii="Century Gothic" w:hAnsi="Century Gothic"/>
          <w:sz w:val="24"/>
          <w:szCs w:val="24"/>
        </w:rPr>
        <w:t xml:space="preserve">The </w:t>
      </w:r>
      <w:r w:rsidR="00BC6EC0" w:rsidRPr="00570D69">
        <w:rPr>
          <w:rFonts w:ascii="Century Gothic" w:hAnsi="Century Gothic"/>
        </w:rPr>
        <w:t xml:space="preserve">Cash Management Improvement Act Training </w:t>
      </w:r>
      <w:r w:rsidRPr="00570D69">
        <w:rPr>
          <w:rFonts w:ascii="Century Gothic" w:hAnsi="Century Gothic"/>
          <w:sz w:val="24"/>
          <w:szCs w:val="24"/>
        </w:rPr>
        <w:t xml:space="preserve">is a </w:t>
      </w:r>
      <w:r w:rsidR="00C94C3F" w:rsidRPr="00570D69">
        <w:rPr>
          <w:rFonts w:ascii="Century Gothic" w:hAnsi="Century Gothic"/>
          <w:sz w:val="24"/>
          <w:szCs w:val="24"/>
        </w:rPr>
        <w:t>two</w:t>
      </w:r>
      <w:r w:rsidRPr="00570D69">
        <w:rPr>
          <w:rFonts w:ascii="Century Gothic" w:hAnsi="Century Gothic"/>
          <w:sz w:val="24"/>
          <w:szCs w:val="24"/>
        </w:rPr>
        <w:t>-hour class that includes an overview of the CMIA, the TSA, and any changes to the required reporting and processing of information for federal programs covered by the CMIA. There is also an open discussion period between participating state departments and FSCU.</w:t>
      </w:r>
    </w:p>
    <w:p w14:paraId="04B9E390" w14:textId="77777777" w:rsidR="00BC6EC0" w:rsidRPr="00570D69" w:rsidRDefault="003868DD" w:rsidP="00E56769">
      <w:pPr>
        <w:numPr>
          <w:ilvl w:val="0"/>
          <w:numId w:val="11"/>
        </w:numPr>
        <w:rPr>
          <w:rFonts w:ascii="Century Gothic" w:hAnsi="Century Gothic"/>
          <w:b/>
          <w:sz w:val="24"/>
          <w:szCs w:val="24"/>
        </w:rPr>
      </w:pPr>
      <w:r w:rsidRPr="00570D69">
        <w:rPr>
          <w:rFonts w:ascii="Century Gothic" w:hAnsi="Century Gothic"/>
          <w:b/>
          <w:sz w:val="24"/>
          <w:szCs w:val="24"/>
        </w:rPr>
        <w:t>Department of Finance — FSCU Contacts:</w:t>
      </w:r>
    </w:p>
    <w:p w14:paraId="232D659F" w14:textId="624824D5" w:rsidR="003868DD" w:rsidRPr="00570D69" w:rsidRDefault="003868DD" w:rsidP="00BC6EC0">
      <w:pPr>
        <w:ind w:left="720"/>
        <w:rPr>
          <w:rFonts w:ascii="Century Gothic" w:hAnsi="Century Gothic"/>
          <w:b/>
          <w:sz w:val="24"/>
          <w:szCs w:val="24"/>
        </w:rPr>
      </w:pPr>
      <w:r w:rsidRPr="00570D69">
        <w:rPr>
          <w:rFonts w:ascii="Century Gothic" w:hAnsi="Century Gothic"/>
          <w:b/>
          <w:sz w:val="24"/>
          <w:szCs w:val="24"/>
        </w:rPr>
        <w:t xml:space="preserve"> </w:t>
      </w:r>
    </w:p>
    <w:tbl>
      <w:tblPr>
        <w:tblW w:w="9510" w:type="dxa"/>
        <w:tblCellSpacing w:w="30" w:type="dxa"/>
        <w:tblCellMar>
          <w:left w:w="0" w:type="dxa"/>
          <w:right w:w="0" w:type="dxa"/>
        </w:tblCellMar>
        <w:tblLook w:val="0000" w:firstRow="0" w:lastRow="0" w:firstColumn="0" w:lastColumn="0" w:noHBand="0" w:noVBand="0"/>
      </w:tblPr>
      <w:tblGrid>
        <w:gridCol w:w="585"/>
        <w:gridCol w:w="1755"/>
        <w:gridCol w:w="360"/>
        <w:gridCol w:w="3126"/>
        <w:gridCol w:w="513"/>
        <w:gridCol w:w="3171"/>
      </w:tblGrid>
      <w:tr w:rsidR="002C1217" w:rsidRPr="00570D69" w14:paraId="6F406C81" w14:textId="77777777" w:rsidTr="00004E9F">
        <w:trPr>
          <w:trHeight w:val="308"/>
          <w:tblCellSpacing w:w="30" w:type="dxa"/>
        </w:trPr>
        <w:tc>
          <w:tcPr>
            <w:tcW w:w="495" w:type="dxa"/>
            <w:vAlign w:val="center"/>
          </w:tcPr>
          <w:p w14:paraId="1FA04009" w14:textId="77777777" w:rsidR="002C1217" w:rsidRPr="00570D69" w:rsidRDefault="002C1217" w:rsidP="003868DD">
            <w:pPr>
              <w:rPr>
                <w:rFonts w:ascii="Century Gothic" w:hAnsi="Century Gothic"/>
                <w:sz w:val="24"/>
                <w:szCs w:val="24"/>
              </w:rPr>
            </w:pPr>
          </w:p>
        </w:tc>
        <w:tc>
          <w:tcPr>
            <w:tcW w:w="1695" w:type="dxa"/>
            <w:vAlign w:val="center"/>
          </w:tcPr>
          <w:p w14:paraId="61C54BE2" w14:textId="77777777" w:rsidR="002C1217" w:rsidRPr="00570D69" w:rsidRDefault="002C1217" w:rsidP="00707FAC">
            <w:pPr>
              <w:rPr>
                <w:rFonts w:ascii="Century Gothic" w:hAnsi="Century Gothic"/>
                <w:sz w:val="24"/>
                <w:szCs w:val="24"/>
              </w:rPr>
            </w:pPr>
            <w:r w:rsidRPr="00570D69">
              <w:rPr>
                <w:rFonts w:ascii="Century Gothic" w:hAnsi="Century Gothic"/>
                <w:sz w:val="24"/>
                <w:szCs w:val="24"/>
              </w:rPr>
              <w:t>Samorn Phon</w:t>
            </w:r>
          </w:p>
        </w:tc>
        <w:tc>
          <w:tcPr>
            <w:tcW w:w="300" w:type="dxa"/>
            <w:vAlign w:val="center"/>
          </w:tcPr>
          <w:p w14:paraId="68FCFE8B" w14:textId="77777777" w:rsidR="002C1217" w:rsidRPr="00570D69" w:rsidRDefault="002C1217" w:rsidP="00707FAC">
            <w:pPr>
              <w:rPr>
                <w:rFonts w:ascii="Century Gothic" w:hAnsi="Century Gothic"/>
                <w:sz w:val="24"/>
                <w:szCs w:val="24"/>
              </w:rPr>
            </w:pPr>
          </w:p>
        </w:tc>
        <w:tc>
          <w:tcPr>
            <w:tcW w:w="3066" w:type="dxa"/>
            <w:vAlign w:val="center"/>
          </w:tcPr>
          <w:p w14:paraId="4CBE1022" w14:textId="77777777" w:rsidR="002C1217" w:rsidRPr="00570D69" w:rsidRDefault="002C1217" w:rsidP="00707FAC">
            <w:pPr>
              <w:ind w:left="237" w:right="-445"/>
              <w:rPr>
                <w:rFonts w:ascii="Century Gothic" w:hAnsi="Century Gothic"/>
                <w:sz w:val="24"/>
                <w:szCs w:val="24"/>
              </w:rPr>
            </w:pPr>
            <w:r w:rsidRPr="00570D69">
              <w:rPr>
                <w:rFonts w:ascii="Century Gothic" w:hAnsi="Century Gothic"/>
                <w:sz w:val="24"/>
                <w:szCs w:val="24"/>
              </w:rPr>
              <w:t>(916) 445-3434, ext. 2170</w:t>
            </w:r>
          </w:p>
        </w:tc>
        <w:tc>
          <w:tcPr>
            <w:tcW w:w="453" w:type="dxa"/>
            <w:vAlign w:val="center"/>
          </w:tcPr>
          <w:p w14:paraId="327DC8EF" w14:textId="77777777" w:rsidR="002C1217" w:rsidRPr="00570D69" w:rsidRDefault="002C1217" w:rsidP="00707FAC">
            <w:pPr>
              <w:rPr>
                <w:rFonts w:ascii="Century Gothic" w:hAnsi="Century Gothic"/>
                <w:sz w:val="24"/>
                <w:szCs w:val="24"/>
              </w:rPr>
            </w:pPr>
          </w:p>
        </w:tc>
        <w:tc>
          <w:tcPr>
            <w:tcW w:w="3081" w:type="dxa"/>
            <w:vAlign w:val="center"/>
          </w:tcPr>
          <w:p w14:paraId="1E9257D6" w14:textId="77777777" w:rsidR="002C1217" w:rsidRPr="00570D69" w:rsidRDefault="002C1217" w:rsidP="00707FAC">
            <w:pPr>
              <w:ind w:right="-1237"/>
              <w:rPr>
                <w:rFonts w:ascii="Century Gothic" w:hAnsi="Century Gothic"/>
                <w:sz w:val="24"/>
                <w:szCs w:val="24"/>
                <w:u w:val="single"/>
              </w:rPr>
            </w:pPr>
            <w:r w:rsidRPr="00570D69">
              <w:rPr>
                <w:rFonts w:ascii="Century Gothic" w:hAnsi="Century Gothic"/>
                <w:sz w:val="24"/>
                <w:szCs w:val="24"/>
                <w:u w:val="single"/>
              </w:rPr>
              <w:t>Samorn.Phon@dof.ca.gov</w:t>
            </w:r>
          </w:p>
        </w:tc>
      </w:tr>
      <w:tr w:rsidR="002C1217" w:rsidRPr="00570D69" w14:paraId="12C0A734" w14:textId="77777777" w:rsidTr="00004E9F">
        <w:trPr>
          <w:trHeight w:val="308"/>
          <w:tblCellSpacing w:w="30" w:type="dxa"/>
        </w:trPr>
        <w:tc>
          <w:tcPr>
            <w:tcW w:w="495" w:type="dxa"/>
            <w:vAlign w:val="center"/>
          </w:tcPr>
          <w:p w14:paraId="158F80CF" w14:textId="77777777" w:rsidR="002C1217" w:rsidRPr="00570D69" w:rsidRDefault="002C1217" w:rsidP="003868DD">
            <w:pPr>
              <w:rPr>
                <w:rFonts w:ascii="Century Gothic" w:hAnsi="Century Gothic"/>
                <w:sz w:val="24"/>
                <w:szCs w:val="24"/>
              </w:rPr>
            </w:pPr>
          </w:p>
        </w:tc>
        <w:tc>
          <w:tcPr>
            <w:tcW w:w="1695" w:type="dxa"/>
            <w:vAlign w:val="center"/>
          </w:tcPr>
          <w:p w14:paraId="3D4D4710" w14:textId="14D974E5" w:rsidR="002C1217" w:rsidRPr="00570D69" w:rsidRDefault="00BC6EC0" w:rsidP="00707FAC">
            <w:pPr>
              <w:rPr>
                <w:rFonts w:ascii="Century Gothic" w:hAnsi="Century Gothic"/>
                <w:sz w:val="24"/>
                <w:szCs w:val="24"/>
              </w:rPr>
            </w:pPr>
            <w:r w:rsidRPr="00570D69">
              <w:rPr>
                <w:rFonts w:ascii="Century Gothic" w:hAnsi="Century Gothic"/>
                <w:sz w:val="24"/>
                <w:szCs w:val="24"/>
              </w:rPr>
              <w:t>Janice Miles</w:t>
            </w:r>
          </w:p>
        </w:tc>
        <w:tc>
          <w:tcPr>
            <w:tcW w:w="300" w:type="dxa"/>
            <w:vAlign w:val="center"/>
          </w:tcPr>
          <w:p w14:paraId="58ABFDB0" w14:textId="77777777" w:rsidR="002C1217" w:rsidRPr="00570D69" w:rsidRDefault="002C1217" w:rsidP="00707FAC">
            <w:pPr>
              <w:rPr>
                <w:rFonts w:ascii="Century Gothic" w:hAnsi="Century Gothic"/>
                <w:sz w:val="24"/>
                <w:szCs w:val="24"/>
              </w:rPr>
            </w:pPr>
          </w:p>
        </w:tc>
        <w:tc>
          <w:tcPr>
            <w:tcW w:w="3066" w:type="dxa"/>
            <w:vAlign w:val="center"/>
          </w:tcPr>
          <w:p w14:paraId="593030B6" w14:textId="18A987DE" w:rsidR="002C1217" w:rsidRPr="00570D69" w:rsidRDefault="002C1217" w:rsidP="00707FAC">
            <w:pPr>
              <w:ind w:left="237" w:right="-445"/>
              <w:rPr>
                <w:rFonts w:ascii="Century Gothic" w:hAnsi="Century Gothic"/>
                <w:sz w:val="24"/>
                <w:szCs w:val="24"/>
              </w:rPr>
            </w:pPr>
            <w:r w:rsidRPr="00570D69">
              <w:rPr>
                <w:rFonts w:ascii="Century Gothic" w:hAnsi="Century Gothic"/>
                <w:sz w:val="24"/>
                <w:szCs w:val="24"/>
              </w:rPr>
              <w:t>(916) 445-3434, ext</w:t>
            </w:r>
            <w:r w:rsidR="004A427D" w:rsidRPr="00570D69">
              <w:rPr>
                <w:rFonts w:ascii="Century Gothic" w:hAnsi="Century Gothic"/>
                <w:sz w:val="24"/>
                <w:szCs w:val="24"/>
              </w:rPr>
              <w:t>.</w:t>
            </w:r>
            <w:r w:rsidRPr="00570D69">
              <w:rPr>
                <w:rFonts w:ascii="Century Gothic" w:hAnsi="Century Gothic"/>
                <w:sz w:val="24"/>
                <w:szCs w:val="24"/>
              </w:rPr>
              <w:t xml:space="preserve"> </w:t>
            </w:r>
            <w:r w:rsidR="004A427D" w:rsidRPr="00570D69">
              <w:rPr>
                <w:rFonts w:ascii="Century Gothic" w:hAnsi="Century Gothic"/>
                <w:sz w:val="24"/>
                <w:szCs w:val="24"/>
              </w:rPr>
              <w:t>21</w:t>
            </w:r>
            <w:r w:rsidR="00BC6EC0" w:rsidRPr="00570D69">
              <w:rPr>
                <w:rFonts w:ascii="Century Gothic" w:hAnsi="Century Gothic"/>
                <w:sz w:val="24"/>
                <w:szCs w:val="24"/>
              </w:rPr>
              <w:t>42</w:t>
            </w:r>
          </w:p>
        </w:tc>
        <w:tc>
          <w:tcPr>
            <w:tcW w:w="453" w:type="dxa"/>
            <w:vAlign w:val="center"/>
          </w:tcPr>
          <w:p w14:paraId="28C9A5E9" w14:textId="77777777" w:rsidR="002C1217" w:rsidRPr="00570D69" w:rsidRDefault="002C1217" w:rsidP="00707FAC">
            <w:pPr>
              <w:rPr>
                <w:rFonts w:ascii="Century Gothic" w:hAnsi="Century Gothic"/>
                <w:sz w:val="24"/>
                <w:szCs w:val="24"/>
              </w:rPr>
            </w:pPr>
          </w:p>
        </w:tc>
        <w:tc>
          <w:tcPr>
            <w:tcW w:w="3081" w:type="dxa"/>
            <w:vAlign w:val="center"/>
          </w:tcPr>
          <w:p w14:paraId="5AEEB5C8" w14:textId="47E38901" w:rsidR="002C1217" w:rsidRPr="00570D69" w:rsidRDefault="0071448B" w:rsidP="00707FAC">
            <w:pPr>
              <w:ind w:right="-1237"/>
              <w:rPr>
                <w:rFonts w:ascii="Century Gothic" w:hAnsi="Century Gothic"/>
                <w:sz w:val="24"/>
                <w:szCs w:val="24"/>
                <w:u w:val="single"/>
              </w:rPr>
            </w:pPr>
            <w:r w:rsidRPr="00570D69">
              <w:rPr>
                <w:rFonts w:ascii="Century Gothic" w:hAnsi="Century Gothic"/>
                <w:sz w:val="24"/>
                <w:szCs w:val="24"/>
                <w:u w:val="single"/>
              </w:rPr>
              <w:t>Janice.Miles</w:t>
            </w:r>
            <w:r w:rsidR="004A427D" w:rsidRPr="00570D69">
              <w:rPr>
                <w:rFonts w:ascii="Century Gothic" w:hAnsi="Century Gothic"/>
                <w:sz w:val="24"/>
                <w:szCs w:val="24"/>
                <w:u w:val="single"/>
              </w:rPr>
              <w:t>@dof.ca.gov</w:t>
            </w:r>
          </w:p>
        </w:tc>
      </w:tr>
      <w:tr w:rsidR="00BC6EC0" w:rsidRPr="003868DD" w14:paraId="24D139B0" w14:textId="77777777" w:rsidTr="00004E9F">
        <w:trPr>
          <w:trHeight w:val="308"/>
          <w:tblCellSpacing w:w="30" w:type="dxa"/>
        </w:trPr>
        <w:tc>
          <w:tcPr>
            <w:tcW w:w="495" w:type="dxa"/>
            <w:vAlign w:val="center"/>
          </w:tcPr>
          <w:p w14:paraId="497B4F29" w14:textId="77777777" w:rsidR="00BC6EC0" w:rsidRPr="003868DD" w:rsidRDefault="00BC6EC0" w:rsidP="003868DD">
            <w:pPr>
              <w:rPr>
                <w:sz w:val="24"/>
                <w:szCs w:val="24"/>
              </w:rPr>
            </w:pPr>
          </w:p>
        </w:tc>
        <w:tc>
          <w:tcPr>
            <w:tcW w:w="1695" w:type="dxa"/>
            <w:vAlign w:val="center"/>
          </w:tcPr>
          <w:p w14:paraId="1A98BD46" w14:textId="01FB1EF3" w:rsidR="00BC6EC0" w:rsidRDefault="00BC6EC0" w:rsidP="00707FAC">
            <w:pPr>
              <w:rPr>
                <w:sz w:val="24"/>
                <w:szCs w:val="24"/>
              </w:rPr>
            </w:pPr>
          </w:p>
        </w:tc>
        <w:tc>
          <w:tcPr>
            <w:tcW w:w="300" w:type="dxa"/>
            <w:vAlign w:val="center"/>
          </w:tcPr>
          <w:p w14:paraId="70A1F70D" w14:textId="77777777" w:rsidR="00BC6EC0" w:rsidRPr="003868DD" w:rsidRDefault="00BC6EC0" w:rsidP="00707FAC">
            <w:pPr>
              <w:rPr>
                <w:sz w:val="24"/>
                <w:szCs w:val="24"/>
              </w:rPr>
            </w:pPr>
          </w:p>
        </w:tc>
        <w:tc>
          <w:tcPr>
            <w:tcW w:w="3066" w:type="dxa"/>
            <w:vAlign w:val="center"/>
          </w:tcPr>
          <w:p w14:paraId="108F98A6" w14:textId="24F5BA3C" w:rsidR="00BC6EC0" w:rsidRDefault="00BC6EC0" w:rsidP="00707FAC">
            <w:pPr>
              <w:ind w:left="237" w:right="-445"/>
              <w:rPr>
                <w:sz w:val="24"/>
                <w:szCs w:val="24"/>
              </w:rPr>
            </w:pPr>
          </w:p>
        </w:tc>
        <w:tc>
          <w:tcPr>
            <w:tcW w:w="453" w:type="dxa"/>
            <w:vAlign w:val="center"/>
          </w:tcPr>
          <w:p w14:paraId="6FDFD392" w14:textId="77777777" w:rsidR="00BC6EC0" w:rsidRPr="003868DD" w:rsidRDefault="00BC6EC0" w:rsidP="00707FAC">
            <w:pPr>
              <w:rPr>
                <w:sz w:val="24"/>
                <w:szCs w:val="24"/>
              </w:rPr>
            </w:pPr>
          </w:p>
        </w:tc>
        <w:tc>
          <w:tcPr>
            <w:tcW w:w="3081" w:type="dxa"/>
            <w:vAlign w:val="center"/>
          </w:tcPr>
          <w:p w14:paraId="78C47BE0" w14:textId="62769C1C" w:rsidR="00BC6EC0" w:rsidRDefault="00BC6EC0" w:rsidP="00707FAC">
            <w:pPr>
              <w:ind w:right="-1237"/>
              <w:rPr>
                <w:sz w:val="24"/>
                <w:szCs w:val="24"/>
                <w:u w:val="single"/>
              </w:rPr>
            </w:pPr>
          </w:p>
        </w:tc>
      </w:tr>
      <w:tr w:rsidR="002C1217" w:rsidRPr="003868DD" w14:paraId="04DB1E9B" w14:textId="77777777" w:rsidTr="00004E9F">
        <w:trPr>
          <w:trHeight w:val="308"/>
          <w:tblCellSpacing w:w="30" w:type="dxa"/>
        </w:trPr>
        <w:tc>
          <w:tcPr>
            <w:tcW w:w="495" w:type="dxa"/>
            <w:vAlign w:val="center"/>
          </w:tcPr>
          <w:p w14:paraId="03DB3ECD" w14:textId="77777777" w:rsidR="002C1217" w:rsidRPr="003868DD" w:rsidRDefault="002C1217" w:rsidP="003868DD">
            <w:pPr>
              <w:rPr>
                <w:sz w:val="24"/>
                <w:szCs w:val="24"/>
              </w:rPr>
            </w:pPr>
          </w:p>
        </w:tc>
        <w:tc>
          <w:tcPr>
            <w:tcW w:w="1695" w:type="dxa"/>
            <w:vAlign w:val="center"/>
          </w:tcPr>
          <w:p w14:paraId="0D04E7D6" w14:textId="77777777" w:rsidR="002C1217" w:rsidRPr="003868DD" w:rsidRDefault="002C1217" w:rsidP="00707FAC">
            <w:pPr>
              <w:rPr>
                <w:sz w:val="24"/>
                <w:szCs w:val="24"/>
              </w:rPr>
            </w:pPr>
          </w:p>
        </w:tc>
        <w:tc>
          <w:tcPr>
            <w:tcW w:w="300" w:type="dxa"/>
            <w:vAlign w:val="center"/>
          </w:tcPr>
          <w:p w14:paraId="103EBA69" w14:textId="77777777" w:rsidR="002C1217" w:rsidRPr="003868DD" w:rsidRDefault="002C1217" w:rsidP="00707FAC">
            <w:pPr>
              <w:rPr>
                <w:sz w:val="24"/>
                <w:szCs w:val="24"/>
              </w:rPr>
            </w:pPr>
          </w:p>
        </w:tc>
        <w:tc>
          <w:tcPr>
            <w:tcW w:w="3066" w:type="dxa"/>
            <w:vAlign w:val="center"/>
          </w:tcPr>
          <w:p w14:paraId="5182146D" w14:textId="77777777" w:rsidR="002C1217" w:rsidRPr="003868DD" w:rsidRDefault="002C1217" w:rsidP="00707FAC">
            <w:pPr>
              <w:ind w:left="237" w:right="-445"/>
              <w:rPr>
                <w:sz w:val="24"/>
                <w:szCs w:val="24"/>
              </w:rPr>
            </w:pPr>
          </w:p>
        </w:tc>
        <w:tc>
          <w:tcPr>
            <w:tcW w:w="453" w:type="dxa"/>
            <w:vAlign w:val="center"/>
          </w:tcPr>
          <w:p w14:paraId="065681FA" w14:textId="77777777" w:rsidR="002C1217" w:rsidRPr="003868DD" w:rsidRDefault="002C1217" w:rsidP="00707FAC">
            <w:pPr>
              <w:rPr>
                <w:sz w:val="24"/>
                <w:szCs w:val="24"/>
              </w:rPr>
            </w:pPr>
          </w:p>
        </w:tc>
        <w:tc>
          <w:tcPr>
            <w:tcW w:w="3081" w:type="dxa"/>
            <w:vAlign w:val="center"/>
          </w:tcPr>
          <w:p w14:paraId="3FC50845" w14:textId="77777777" w:rsidR="002C1217" w:rsidRPr="008067EB" w:rsidRDefault="002C1217" w:rsidP="00707FAC">
            <w:pPr>
              <w:ind w:right="-1237"/>
              <w:rPr>
                <w:sz w:val="24"/>
                <w:szCs w:val="24"/>
                <w:u w:val="single"/>
              </w:rPr>
            </w:pPr>
          </w:p>
        </w:tc>
      </w:tr>
    </w:tbl>
    <w:p w14:paraId="6531C41F" w14:textId="77777777" w:rsidR="003A6C1E" w:rsidRDefault="003A6C1E" w:rsidP="006D3C63">
      <w:pPr>
        <w:spacing w:before="100" w:beforeAutospacing="1" w:after="100" w:afterAutospacing="1"/>
        <w:rPr>
          <w:sz w:val="24"/>
          <w:szCs w:val="24"/>
        </w:rPr>
      </w:pPr>
    </w:p>
    <w:sectPr w:rsidR="003A6C1E" w:rsidSect="005B0118">
      <w:footerReference w:type="default" r:id="rId10"/>
      <w:type w:val="continuous"/>
      <w:pgSz w:w="12240" w:h="15840"/>
      <w:pgMar w:top="1080" w:right="1080" w:bottom="90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A0354" w14:textId="77777777" w:rsidR="00504617" w:rsidRDefault="00504617">
      <w:r>
        <w:separator/>
      </w:r>
    </w:p>
  </w:endnote>
  <w:endnote w:type="continuationSeparator" w:id="0">
    <w:p w14:paraId="6683418A" w14:textId="77777777" w:rsidR="00504617" w:rsidRDefault="00504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9695D" w14:textId="77777777" w:rsidR="00483361" w:rsidRPr="006D3C63" w:rsidRDefault="00483361" w:rsidP="006D3C63">
    <w:pPr>
      <w:pStyle w:val="Footer"/>
      <w:jc w:val="right"/>
      <w:rPr>
        <w:sz w:val="16"/>
        <w:szCs w:val="16"/>
      </w:rPr>
    </w:pPr>
    <w:r w:rsidRPr="006D3C63">
      <w:rPr>
        <w:sz w:val="16"/>
        <w:szCs w:val="16"/>
      </w:rPr>
      <w:t xml:space="preserve">Page </w:t>
    </w:r>
    <w:r w:rsidRPr="006D3C63">
      <w:rPr>
        <w:rStyle w:val="PageNumber"/>
        <w:sz w:val="16"/>
        <w:szCs w:val="16"/>
      </w:rPr>
      <w:fldChar w:fldCharType="begin"/>
    </w:r>
    <w:r w:rsidRPr="006D3C63">
      <w:rPr>
        <w:rStyle w:val="PageNumber"/>
        <w:sz w:val="16"/>
        <w:szCs w:val="16"/>
      </w:rPr>
      <w:instrText xml:space="preserve"> PAGE </w:instrText>
    </w:r>
    <w:r w:rsidRPr="006D3C63">
      <w:rPr>
        <w:rStyle w:val="PageNumber"/>
        <w:sz w:val="16"/>
        <w:szCs w:val="16"/>
      </w:rPr>
      <w:fldChar w:fldCharType="separate"/>
    </w:r>
    <w:r w:rsidR="00C126D4">
      <w:rPr>
        <w:rStyle w:val="PageNumber"/>
        <w:noProof/>
        <w:sz w:val="16"/>
        <w:szCs w:val="16"/>
      </w:rPr>
      <w:t>1</w:t>
    </w:r>
    <w:r w:rsidRPr="006D3C63">
      <w:rPr>
        <w:rStyle w:val="PageNumber"/>
        <w:sz w:val="16"/>
        <w:szCs w:val="16"/>
      </w:rPr>
      <w:fldChar w:fldCharType="end"/>
    </w:r>
    <w:r w:rsidRPr="006D3C63">
      <w:rPr>
        <w:rStyle w:val="PageNumber"/>
        <w:sz w:val="16"/>
        <w:szCs w:val="16"/>
      </w:rPr>
      <w:t xml:space="preserve"> of </w:t>
    </w:r>
    <w:r w:rsidRPr="006D3C63">
      <w:rPr>
        <w:rStyle w:val="PageNumber"/>
        <w:sz w:val="16"/>
        <w:szCs w:val="16"/>
      </w:rPr>
      <w:fldChar w:fldCharType="begin"/>
    </w:r>
    <w:r w:rsidRPr="006D3C63">
      <w:rPr>
        <w:rStyle w:val="PageNumber"/>
        <w:sz w:val="16"/>
        <w:szCs w:val="16"/>
      </w:rPr>
      <w:instrText xml:space="preserve"> NUMPAGES </w:instrText>
    </w:r>
    <w:r w:rsidRPr="006D3C63">
      <w:rPr>
        <w:rStyle w:val="PageNumber"/>
        <w:sz w:val="16"/>
        <w:szCs w:val="16"/>
      </w:rPr>
      <w:fldChar w:fldCharType="separate"/>
    </w:r>
    <w:r w:rsidR="00C126D4">
      <w:rPr>
        <w:rStyle w:val="PageNumber"/>
        <w:noProof/>
        <w:sz w:val="16"/>
        <w:szCs w:val="16"/>
      </w:rPr>
      <w:t>2</w:t>
    </w:r>
    <w:r w:rsidRPr="006D3C63">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81F6F" w14:textId="77777777" w:rsidR="00504617" w:rsidRDefault="00504617">
      <w:r>
        <w:separator/>
      </w:r>
    </w:p>
  </w:footnote>
  <w:footnote w:type="continuationSeparator" w:id="0">
    <w:p w14:paraId="30B4D6F3" w14:textId="77777777" w:rsidR="00504617" w:rsidRDefault="005046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C43F6"/>
    <w:multiLevelType w:val="multilevel"/>
    <w:tmpl w:val="FD0A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F90951"/>
    <w:multiLevelType w:val="multilevel"/>
    <w:tmpl w:val="3DC4D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D757E8"/>
    <w:multiLevelType w:val="multilevel"/>
    <w:tmpl w:val="4E5EC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31215D"/>
    <w:multiLevelType w:val="multilevel"/>
    <w:tmpl w:val="5420C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BF4255"/>
    <w:multiLevelType w:val="multilevel"/>
    <w:tmpl w:val="CD221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EA1888"/>
    <w:multiLevelType w:val="multilevel"/>
    <w:tmpl w:val="B5DC2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1E1E16"/>
    <w:multiLevelType w:val="multilevel"/>
    <w:tmpl w:val="D4E60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947906"/>
    <w:multiLevelType w:val="hybridMultilevel"/>
    <w:tmpl w:val="76701A28"/>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15:restartNumberingAfterBreak="0">
    <w:nsid w:val="68484F0C"/>
    <w:multiLevelType w:val="hybridMultilevel"/>
    <w:tmpl w:val="9BB4F1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844DDC"/>
    <w:multiLevelType w:val="hybridMultilevel"/>
    <w:tmpl w:val="11AA1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AA0F26"/>
    <w:multiLevelType w:val="multilevel"/>
    <w:tmpl w:val="D39A4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9902274">
    <w:abstractNumId w:val="6"/>
  </w:num>
  <w:num w:numId="2" w16cid:durableId="2100250902">
    <w:abstractNumId w:val="5"/>
  </w:num>
  <w:num w:numId="3" w16cid:durableId="386800877">
    <w:abstractNumId w:val="1"/>
  </w:num>
  <w:num w:numId="4" w16cid:durableId="1619870481">
    <w:abstractNumId w:val="0"/>
  </w:num>
  <w:num w:numId="5" w16cid:durableId="864177280">
    <w:abstractNumId w:val="4"/>
  </w:num>
  <w:num w:numId="6" w16cid:durableId="143275331">
    <w:abstractNumId w:val="3"/>
  </w:num>
  <w:num w:numId="7" w16cid:durableId="2000497592">
    <w:abstractNumId w:val="10"/>
  </w:num>
  <w:num w:numId="8" w16cid:durableId="1719667264">
    <w:abstractNumId w:val="2"/>
  </w:num>
  <w:num w:numId="9" w16cid:durableId="1692678271">
    <w:abstractNumId w:val="8"/>
  </w:num>
  <w:num w:numId="10" w16cid:durableId="358969417">
    <w:abstractNumId w:val="7"/>
  </w:num>
  <w:num w:numId="11" w16cid:durableId="20425119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LYwNjI2MTY3tzCxsLBU0lEKTi0uzszPAykwrgUAjB/klCwAAAA="/>
  </w:docVars>
  <w:rsids>
    <w:rsidRoot w:val="003868DD"/>
    <w:rsid w:val="00004E9F"/>
    <w:rsid w:val="000114A9"/>
    <w:rsid w:val="00015F81"/>
    <w:rsid w:val="00016D3A"/>
    <w:rsid w:val="00027745"/>
    <w:rsid w:val="00032DF4"/>
    <w:rsid w:val="00033923"/>
    <w:rsid w:val="00036F60"/>
    <w:rsid w:val="00045550"/>
    <w:rsid w:val="00052288"/>
    <w:rsid w:val="00062A63"/>
    <w:rsid w:val="0007261D"/>
    <w:rsid w:val="00073CBD"/>
    <w:rsid w:val="000812F4"/>
    <w:rsid w:val="00084631"/>
    <w:rsid w:val="00086AEF"/>
    <w:rsid w:val="0008755F"/>
    <w:rsid w:val="00093DDC"/>
    <w:rsid w:val="00094BCF"/>
    <w:rsid w:val="000969B6"/>
    <w:rsid w:val="000973FB"/>
    <w:rsid w:val="000A0C34"/>
    <w:rsid w:val="000A2F27"/>
    <w:rsid w:val="000A49AF"/>
    <w:rsid w:val="000B21F0"/>
    <w:rsid w:val="000C5270"/>
    <w:rsid w:val="000C56B6"/>
    <w:rsid w:val="000C6809"/>
    <w:rsid w:val="000E09B1"/>
    <w:rsid w:val="000E2E99"/>
    <w:rsid w:val="000E4E8E"/>
    <w:rsid w:val="000E7FFE"/>
    <w:rsid w:val="000F005E"/>
    <w:rsid w:val="000F01E9"/>
    <w:rsid w:val="000F17FD"/>
    <w:rsid w:val="000F2D04"/>
    <w:rsid w:val="000F44FD"/>
    <w:rsid w:val="00114459"/>
    <w:rsid w:val="00114EE0"/>
    <w:rsid w:val="0011566A"/>
    <w:rsid w:val="00116C73"/>
    <w:rsid w:val="00116E58"/>
    <w:rsid w:val="0012292B"/>
    <w:rsid w:val="00123B46"/>
    <w:rsid w:val="00131C98"/>
    <w:rsid w:val="0014273D"/>
    <w:rsid w:val="001445C9"/>
    <w:rsid w:val="00146B59"/>
    <w:rsid w:val="001508EF"/>
    <w:rsid w:val="0015559B"/>
    <w:rsid w:val="001613AB"/>
    <w:rsid w:val="00162B9F"/>
    <w:rsid w:val="001728EA"/>
    <w:rsid w:val="00172D1C"/>
    <w:rsid w:val="00173DD9"/>
    <w:rsid w:val="00181ACF"/>
    <w:rsid w:val="0018386F"/>
    <w:rsid w:val="0019239C"/>
    <w:rsid w:val="001A33B2"/>
    <w:rsid w:val="001A6255"/>
    <w:rsid w:val="001A677C"/>
    <w:rsid w:val="001A733D"/>
    <w:rsid w:val="001A7917"/>
    <w:rsid w:val="001B0F68"/>
    <w:rsid w:val="001C590E"/>
    <w:rsid w:val="001D6633"/>
    <w:rsid w:val="001E3AEF"/>
    <w:rsid w:val="002051FB"/>
    <w:rsid w:val="00222400"/>
    <w:rsid w:val="00227998"/>
    <w:rsid w:val="002351C5"/>
    <w:rsid w:val="00235601"/>
    <w:rsid w:val="00250EB0"/>
    <w:rsid w:val="00253BC6"/>
    <w:rsid w:val="00256BEE"/>
    <w:rsid w:val="00256DA6"/>
    <w:rsid w:val="00257909"/>
    <w:rsid w:val="00266114"/>
    <w:rsid w:val="00267B66"/>
    <w:rsid w:val="00273300"/>
    <w:rsid w:val="002738B4"/>
    <w:rsid w:val="00275345"/>
    <w:rsid w:val="00285CA1"/>
    <w:rsid w:val="002911A2"/>
    <w:rsid w:val="002949CD"/>
    <w:rsid w:val="002A1C6A"/>
    <w:rsid w:val="002A20FB"/>
    <w:rsid w:val="002A38E2"/>
    <w:rsid w:val="002A6F88"/>
    <w:rsid w:val="002C1217"/>
    <w:rsid w:val="002C14D6"/>
    <w:rsid w:val="002D504C"/>
    <w:rsid w:val="002D6BA1"/>
    <w:rsid w:val="002E16C6"/>
    <w:rsid w:val="002E1E0A"/>
    <w:rsid w:val="002E2319"/>
    <w:rsid w:val="002E4EC0"/>
    <w:rsid w:val="002E5911"/>
    <w:rsid w:val="002F0E02"/>
    <w:rsid w:val="002F42D8"/>
    <w:rsid w:val="002F7E52"/>
    <w:rsid w:val="00304E75"/>
    <w:rsid w:val="00320F0F"/>
    <w:rsid w:val="00331C7D"/>
    <w:rsid w:val="00336299"/>
    <w:rsid w:val="0035011E"/>
    <w:rsid w:val="00352F27"/>
    <w:rsid w:val="00364857"/>
    <w:rsid w:val="003749B9"/>
    <w:rsid w:val="00376F87"/>
    <w:rsid w:val="0038317C"/>
    <w:rsid w:val="003858AF"/>
    <w:rsid w:val="003868DD"/>
    <w:rsid w:val="0038715F"/>
    <w:rsid w:val="00391AC1"/>
    <w:rsid w:val="0039265D"/>
    <w:rsid w:val="003A4F3E"/>
    <w:rsid w:val="003A6C1E"/>
    <w:rsid w:val="003B2D77"/>
    <w:rsid w:val="003E3164"/>
    <w:rsid w:val="003F3193"/>
    <w:rsid w:val="003F3291"/>
    <w:rsid w:val="0040187E"/>
    <w:rsid w:val="00412EE4"/>
    <w:rsid w:val="00413A86"/>
    <w:rsid w:val="00420225"/>
    <w:rsid w:val="00420805"/>
    <w:rsid w:val="004230EA"/>
    <w:rsid w:val="00425526"/>
    <w:rsid w:val="00427D26"/>
    <w:rsid w:val="00433E12"/>
    <w:rsid w:val="00441D5E"/>
    <w:rsid w:val="00441FD6"/>
    <w:rsid w:val="0044552B"/>
    <w:rsid w:val="00446575"/>
    <w:rsid w:val="00447BA1"/>
    <w:rsid w:val="0045297D"/>
    <w:rsid w:val="00455F8E"/>
    <w:rsid w:val="00465361"/>
    <w:rsid w:val="004657FD"/>
    <w:rsid w:val="00467C96"/>
    <w:rsid w:val="00483361"/>
    <w:rsid w:val="004966E0"/>
    <w:rsid w:val="00496AD6"/>
    <w:rsid w:val="004A2CDD"/>
    <w:rsid w:val="004A427D"/>
    <w:rsid w:val="004B5C90"/>
    <w:rsid w:val="004B6171"/>
    <w:rsid w:val="004C0592"/>
    <w:rsid w:val="004C141C"/>
    <w:rsid w:val="004C1E6E"/>
    <w:rsid w:val="004C2963"/>
    <w:rsid w:val="004C7A3B"/>
    <w:rsid w:val="004E11AC"/>
    <w:rsid w:val="004F0E26"/>
    <w:rsid w:val="004F7A43"/>
    <w:rsid w:val="00502117"/>
    <w:rsid w:val="00504617"/>
    <w:rsid w:val="00505BE9"/>
    <w:rsid w:val="00513B9F"/>
    <w:rsid w:val="005223B8"/>
    <w:rsid w:val="0053308F"/>
    <w:rsid w:val="0053442C"/>
    <w:rsid w:val="00535B55"/>
    <w:rsid w:val="00543507"/>
    <w:rsid w:val="00545134"/>
    <w:rsid w:val="005465F6"/>
    <w:rsid w:val="00547A92"/>
    <w:rsid w:val="005538B8"/>
    <w:rsid w:val="0055793D"/>
    <w:rsid w:val="00560403"/>
    <w:rsid w:val="0056570D"/>
    <w:rsid w:val="00566490"/>
    <w:rsid w:val="0057067F"/>
    <w:rsid w:val="0057081B"/>
    <w:rsid w:val="00570D69"/>
    <w:rsid w:val="00572A5D"/>
    <w:rsid w:val="00586688"/>
    <w:rsid w:val="005A4056"/>
    <w:rsid w:val="005B0118"/>
    <w:rsid w:val="005B415F"/>
    <w:rsid w:val="005C1158"/>
    <w:rsid w:val="005C3879"/>
    <w:rsid w:val="005C3B44"/>
    <w:rsid w:val="005D4FC5"/>
    <w:rsid w:val="005E0D52"/>
    <w:rsid w:val="005E4754"/>
    <w:rsid w:val="005F199E"/>
    <w:rsid w:val="005F4252"/>
    <w:rsid w:val="00605DF6"/>
    <w:rsid w:val="00610622"/>
    <w:rsid w:val="00613254"/>
    <w:rsid w:val="00615DF2"/>
    <w:rsid w:val="00625728"/>
    <w:rsid w:val="00630F6B"/>
    <w:rsid w:val="00645DAB"/>
    <w:rsid w:val="006506F5"/>
    <w:rsid w:val="00652DBE"/>
    <w:rsid w:val="00655B45"/>
    <w:rsid w:val="0065701C"/>
    <w:rsid w:val="006636F4"/>
    <w:rsid w:val="00681977"/>
    <w:rsid w:val="00686667"/>
    <w:rsid w:val="006956AB"/>
    <w:rsid w:val="006A48D7"/>
    <w:rsid w:val="006A6FBC"/>
    <w:rsid w:val="006B3AA6"/>
    <w:rsid w:val="006B3C54"/>
    <w:rsid w:val="006C299B"/>
    <w:rsid w:val="006C483F"/>
    <w:rsid w:val="006D0F07"/>
    <w:rsid w:val="006D1F94"/>
    <w:rsid w:val="006D353F"/>
    <w:rsid w:val="006D3C63"/>
    <w:rsid w:val="006D42B7"/>
    <w:rsid w:val="006F0A8F"/>
    <w:rsid w:val="00700418"/>
    <w:rsid w:val="00701793"/>
    <w:rsid w:val="00702930"/>
    <w:rsid w:val="0070666E"/>
    <w:rsid w:val="007069E4"/>
    <w:rsid w:val="00707FAC"/>
    <w:rsid w:val="0071448B"/>
    <w:rsid w:val="00717DB3"/>
    <w:rsid w:val="00726A59"/>
    <w:rsid w:val="00726B6B"/>
    <w:rsid w:val="00727626"/>
    <w:rsid w:val="00742C0E"/>
    <w:rsid w:val="007521DF"/>
    <w:rsid w:val="00764241"/>
    <w:rsid w:val="007716D1"/>
    <w:rsid w:val="00792574"/>
    <w:rsid w:val="007A3370"/>
    <w:rsid w:val="007B494A"/>
    <w:rsid w:val="007D37B4"/>
    <w:rsid w:val="007D48BD"/>
    <w:rsid w:val="007E0804"/>
    <w:rsid w:val="007E29B1"/>
    <w:rsid w:val="007E6577"/>
    <w:rsid w:val="007F0CC4"/>
    <w:rsid w:val="008037E4"/>
    <w:rsid w:val="008056EB"/>
    <w:rsid w:val="008067EB"/>
    <w:rsid w:val="00834FDC"/>
    <w:rsid w:val="008412F7"/>
    <w:rsid w:val="00844570"/>
    <w:rsid w:val="00845D19"/>
    <w:rsid w:val="0085482A"/>
    <w:rsid w:val="00861682"/>
    <w:rsid w:val="0086292C"/>
    <w:rsid w:val="0086725D"/>
    <w:rsid w:val="00872002"/>
    <w:rsid w:val="008836EA"/>
    <w:rsid w:val="00884B7D"/>
    <w:rsid w:val="00893F97"/>
    <w:rsid w:val="00894779"/>
    <w:rsid w:val="008A0482"/>
    <w:rsid w:val="008A449C"/>
    <w:rsid w:val="008A58AB"/>
    <w:rsid w:val="008A61C9"/>
    <w:rsid w:val="008B04B7"/>
    <w:rsid w:val="008B1B62"/>
    <w:rsid w:val="008B43BC"/>
    <w:rsid w:val="008D4330"/>
    <w:rsid w:val="008E0893"/>
    <w:rsid w:val="008F542D"/>
    <w:rsid w:val="008F72FA"/>
    <w:rsid w:val="008F7755"/>
    <w:rsid w:val="00902023"/>
    <w:rsid w:val="00903011"/>
    <w:rsid w:val="00903CA1"/>
    <w:rsid w:val="00917325"/>
    <w:rsid w:val="0092122B"/>
    <w:rsid w:val="0092279C"/>
    <w:rsid w:val="00934A63"/>
    <w:rsid w:val="00956B10"/>
    <w:rsid w:val="00957BE2"/>
    <w:rsid w:val="00966173"/>
    <w:rsid w:val="00971778"/>
    <w:rsid w:val="00974473"/>
    <w:rsid w:val="00977D3C"/>
    <w:rsid w:val="009954FA"/>
    <w:rsid w:val="009A03B5"/>
    <w:rsid w:val="009A1F5E"/>
    <w:rsid w:val="009C542D"/>
    <w:rsid w:val="009D1345"/>
    <w:rsid w:val="009D19B7"/>
    <w:rsid w:val="009D335D"/>
    <w:rsid w:val="009D6A6A"/>
    <w:rsid w:val="009E14E4"/>
    <w:rsid w:val="009E73AC"/>
    <w:rsid w:val="009E79C2"/>
    <w:rsid w:val="009F2E8C"/>
    <w:rsid w:val="00A04304"/>
    <w:rsid w:val="00A05830"/>
    <w:rsid w:val="00A13744"/>
    <w:rsid w:val="00A13BD3"/>
    <w:rsid w:val="00A14AE2"/>
    <w:rsid w:val="00A220EE"/>
    <w:rsid w:val="00A273CB"/>
    <w:rsid w:val="00A308A8"/>
    <w:rsid w:val="00A3658B"/>
    <w:rsid w:val="00A42C89"/>
    <w:rsid w:val="00A44367"/>
    <w:rsid w:val="00A44CCF"/>
    <w:rsid w:val="00A64CF4"/>
    <w:rsid w:val="00A660B4"/>
    <w:rsid w:val="00A7550C"/>
    <w:rsid w:val="00A75EFD"/>
    <w:rsid w:val="00A8090C"/>
    <w:rsid w:val="00A86233"/>
    <w:rsid w:val="00A9468C"/>
    <w:rsid w:val="00A95C12"/>
    <w:rsid w:val="00A96E40"/>
    <w:rsid w:val="00AA2C0C"/>
    <w:rsid w:val="00AA2FE6"/>
    <w:rsid w:val="00AA559B"/>
    <w:rsid w:val="00AB0566"/>
    <w:rsid w:val="00AB1A36"/>
    <w:rsid w:val="00AC26E9"/>
    <w:rsid w:val="00AD59CE"/>
    <w:rsid w:val="00AD7BD5"/>
    <w:rsid w:val="00AE2542"/>
    <w:rsid w:val="00AE67D1"/>
    <w:rsid w:val="00AF101A"/>
    <w:rsid w:val="00AF7C40"/>
    <w:rsid w:val="00B01AFF"/>
    <w:rsid w:val="00B02F77"/>
    <w:rsid w:val="00B032BB"/>
    <w:rsid w:val="00B0696D"/>
    <w:rsid w:val="00B06CD7"/>
    <w:rsid w:val="00B163D4"/>
    <w:rsid w:val="00B1741E"/>
    <w:rsid w:val="00B20174"/>
    <w:rsid w:val="00B20DC3"/>
    <w:rsid w:val="00B2264D"/>
    <w:rsid w:val="00B26B48"/>
    <w:rsid w:val="00B30552"/>
    <w:rsid w:val="00B46FD4"/>
    <w:rsid w:val="00B471A2"/>
    <w:rsid w:val="00B60182"/>
    <w:rsid w:val="00B64A64"/>
    <w:rsid w:val="00B66B79"/>
    <w:rsid w:val="00B82C0F"/>
    <w:rsid w:val="00B9162E"/>
    <w:rsid w:val="00B927F6"/>
    <w:rsid w:val="00BA03BF"/>
    <w:rsid w:val="00BA39DA"/>
    <w:rsid w:val="00BA5227"/>
    <w:rsid w:val="00BA729E"/>
    <w:rsid w:val="00BB2DC4"/>
    <w:rsid w:val="00BC6EC0"/>
    <w:rsid w:val="00BD1C48"/>
    <w:rsid w:val="00BE6945"/>
    <w:rsid w:val="00C02D42"/>
    <w:rsid w:val="00C0702E"/>
    <w:rsid w:val="00C126D4"/>
    <w:rsid w:val="00C134C5"/>
    <w:rsid w:val="00C176EA"/>
    <w:rsid w:val="00C27BDF"/>
    <w:rsid w:val="00C40A68"/>
    <w:rsid w:val="00C4207F"/>
    <w:rsid w:val="00C57E3F"/>
    <w:rsid w:val="00C600FA"/>
    <w:rsid w:val="00C72665"/>
    <w:rsid w:val="00C94C3F"/>
    <w:rsid w:val="00CA0F35"/>
    <w:rsid w:val="00CA6A40"/>
    <w:rsid w:val="00CA7DDD"/>
    <w:rsid w:val="00CB29ED"/>
    <w:rsid w:val="00CB6E4C"/>
    <w:rsid w:val="00CC6796"/>
    <w:rsid w:val="00CD31A4"/>
    <w:rsid w:val="00CD6490"/>
    <w:rsid w:val="00CD6B41"/>
    <w:rsid w:val="00CD7147"/>
    <w:rsid w:val="00CE278B"/>
    <w:rsid w:val="00CE7EC5"/>
    <w:rsid w:val="00CF0F99"/>
    <w:rsid w:val="00CF19C1"/>
    <w:rsid w:val="00CF19EE"/>
    <w:rsid w:val="00CF2DD4"/>
    <w:rsid w:val="00CF6AFB"/>
    <w:rsid w:val="00D01252"/>
    <w:rsid w:val="00D073F2"/>
    <w:rsid w:val="00D07EEA"/>
    <w:rsid w:val="00D11091"/>
    <w:rsid w:val="00D14589"/>
    <w:rsid w:val="00D14FDD"/>
    <w:rsid w:val="00D1565C"/>
    <w:rsid w:val="00D2111B"/>
    <w:rsid w:val="00D226E4"/>
    <w:rsid w:val="00D319C0"/>
    <w:rsid w:val="00D32302"/>
    <w:rsid w:val="00D55594"/>
    <w:rsid w:val="00D707C4"/>
    <w:rsid w:val="00D7313F"/>
    <w:rsid w:val="00D7324B"/>
    <w:rsid w:val="00D814AD"/>
    <w:rsid w:val="00D81A33"/>
    <w:rsid w:val="00D85FD4"/>
    <w:rsid w:val="00D86CF1"/>
    <w:rsid w:val="00D92362"/>
    <w:rsid w:val="00DB68A6"/>
    <w:rsid w:val="00DC3652"/>
    <w:rsid w:val="00DC58A5"/>
    <w:rsid w:val="00DE1F09"/>
    <w:rsid w:val="00DE5634"/>
    <w:rsid w:val="00DE7FAD"/>
    <w:rsid w:val="00DF2401"/>
    <w:rsid w:val="00DF30CB"/>
    <w:rsid w:val="00DF5689"/>
    <w:rsid w:val="00E012FC"/>
    <w:rsid w:val="00E02160"/>
    <w:rsid w:val="00E146CC"/>
    <w:rsid w:val="00E24381"/>
    <w:rsid w:val="00E3030D"/>
    <w:rsid w:val="00E3086A"/>
    <w:rsid w:val="00E37E55"/>
    <w:rsid w:val="00E4432C"/>
    <w:rsid w:val="00E523F0"/>
    <w:rsid w:val="00E56769"/>
    <w:rsid w:val="00E62BE1"/>
    <w:rsid w:val="00E63240"/>
    <w:rsid w:val="00E71B2F"/>
    <w:rsid w:val="00E72B36"/>
    <w:rsid w:val="00E879D9"/>
    <w:rsid w:val="00E9214A"/>
    <w:rsid w:val="00E97BF0"/>
    <w:rsid w:val="00EA7A5E"/>
    <w:rsid w:val="00EA7CD7"/>
    <w:rsid w:val="00EB3574"/>
    <w:rsid w:val="00EB4520"/>
    <w:rsid w:val="00EB4B72"/>
    <w:rsid w:val="00EC4C4A"/>
    <w:rsid w:val="00ED04D0"/>
    <w:rsid w:val="00ED575D"/>
    <w:rsid w:val="00ED7942"/>
    <w:rsid w:val="00EE70CB"/>
    <w:rsid w:val="00EF22A2"/>
    <w:rsid w:val="00EF3343"/>
    <w:rsid w:val="00EF3890"/>
    <w:rsid w:val="00EF3DFC"/>
    <w:rsid w:val="00EF4922"/>
    <w:rsid w:val="00F02CFA"/>
    <w:rsid w:val="00F10874"/>
    <w:rsid w:val="00F109B6"/>
    <w:rsid w:val="00F13E1A"/>
    <w:rsid w:val="00F14899"/>
    <w:rsid w:val="00F20F54"/>
    <w:rsid w:val="00F21A05"/>
    <w:rsid w:val="00F23B66"/>
    <w:rsid w:val="00F250E2"/>
    <w:rsid w:val="00F25795"/>
    <w:rsid w:val="00F274B5"/>
    <w:rsid w:val="00F303D2"/>
    <w:rsid w:val="00F40853"/>
    <w:rsid w:val="00F43D16"/>
    <w:rsid w:val="00F44EF1"/>
    <w:rsid w:val="00F46D1C"/>
    <w:rsid w:val="00F5298B"/>
    <w:rsid w:val="00F54EDB"/>
    <w:rsid w:val="00F57FF1"/>
    <w:rsid w:val="00F600EF"/>
    <w:rsid w:val="00F6678D"/>
    <w:rsid w:val="00F76BE8"/>
    <w:rsid w:val="00F94A36"/>
    <w:rsid w:val="00F94D8B"/>
    <w:rsid w:val="00FA7CB2"/>
    <w:rsid w:val="00FB5D7D"/>
    <w:rsid w:val="00FC7367"/>
    <w:rsid w:val="00FD0E9E"/>
    <w:rsid w:val="00FE3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30CCC81"/>
  <w15:chartTrackingRefBased/>
  <w15:docId w15:val="{CAA04A1E-0F61-4E33-922C-C65D3303F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2"/>
    </w:rPr>
  </w:style>
  <w:style w:type="paragraph" w:styleId="Heading1">
    <w:name w:val="heading 1"/>
    <w:basedOn w:val="Normal"/>
    <w:next w:val="Normal"/>
    <w:qFormat/>
    <w:rsid w:val="000E09B1"/>
    <w:pPr>
      <w:keepNext/>
      <w:spacing w:before="240" w:after="60"/>
      <w:outlineLvl w:val="0"/>
    </w:pPr>
    <w:rPr>
      <w:b/>
      <w:bCs/>
      <w:kern w:val="32"/>
      <w:sz w:val="32"/>
      <w:szCs w:val="32"/>
    </w:rPr>
  </w:style>
  <w:style w:type="paragraph" w:styleId="Heading2">
    <w:name w:val="heading 2"/>
    <w:basedOn w:val="Normal"/>
    <w:qFormat/>
    <w:rsid w:val="003868DD"/>
    <w:pPr>
      <w:spacing w:before="100" w:beforeAutospacing="1" w:after="100" w:afterAutospacing="1"/>
      <w:outlineLvl w:val="1"/>
    </w:pPr>
    <w:rPr>
      <w:rFonts w:ascii="Times New Roman" w:hAnsi="Times New Roman" w:cs="Times New Roman"/>
      <w:b/>
      <w:bCs/>
      <w:color w:val="00008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858AF"/>
    <w:pPr>
      <w:tabs>
        <w:tab w:val="center" w:pos="4320"/>
        <w:tab w:val="right" w:pos="8640"/>
      </w:tabs>
    </w:pPr>
  </w:style>
  <w:style w:type="paragraph" w:styleId="Footer">
    <w:name w:val="footer"/>
    <w:basedOn w:val="Normal"/>
    <w:rsid w:val="003858AF"/>
    <w:pPr>
      <w:tabs>
        <w:tab w:val="center" w:pos="4320"/>
        <w:tab w:val="right" w:pos="8640"/>
      </w:tabs>
    </w:pPr>
  </w:style>
  <w:style w:type="character" w:styleId="Hyperlink">
    <w:name w:val="Hyperlink"/>
    <w:rsid w:val="003868DD"/>
    <w:rPr>
      <w:color w:val="008080"/>
      <w:u w:val="single"/>
    </w:rPr>
  </w:style>
  <w:style w:type="paragraph" w:styleId="NormalWeb">
    <w:name w:val="Normal (Web)"/>
    <w:basedOn w:val="Normal"/>
    <w:rsid w:val="003868DD"/>
    <w:pPr>
      <w:spacing w:before="100" w:beforeAutospacing="1" w:after="100" w:afterAutospacing="1"/>
    </w:pPr>
    <w:rPr>
      <w:rFonts w:ascii="Times New Roman" w:hAnsi="Times New Roman" w:cs="Times New Roman"/>
      <w:color w:val="000080"/>
      <w:sz w:val="24"/>
      <w:szCs w:val="24"/>
    </w:rPr>
  </w:style>
  <w:style w:type="character" w:styleId="PageNumber">
    <w:name w:val="page number"/>
    <w:basedOn w:val="DefaultParagraphFont"/>
    <w:rsid w:val="006D3C63"/>
  </w:style>
  <w:style w:type="character" w:styleId="FollowedHyperlink">
    <w:name w:val="FollowedHyperlink"/>
    <w:rsid w:val="00D2111B"/>
    <w:rPr>
      <w:color w:val="800080"/>
      <w:u w:val="single"/>
    </w:rPr>
  </w:style>
  <w:style w:type="paragraph" w:styleId="Title">
    <w:name w:val="Title"/>
    <w:basedOn w:val="Normal"/>
    <w:next w:val="Normal"/>
    <w:link w:val="TitleChar"/>
    <w:qFormat/>
    <w:rsid w:val="00483361"/>
    <w:pPr>
      <w:spacing w:before="240" w:after="60"/>
      <w:jc w:val="center"/>
      <w:outlineLvl w:val="0"/>
    </w:pPr>
    <w:rPr>
      <w:rFonts w:ascii="Calibri Light" w:hAnsi="Calibri Light" w:cs="Times New Roman"/>
      <w:b/>
      <w:bCs/>
      <w:kern w:val="28"/>
      <w:sz w:val="32"/>
      <w:szCs w:val="32"/>
    </w:rPr>
  </w:style>
  <w:style w:type="character" w:customStyle="1" w:styleId="TitleChar">
    <w:name w:val="Title Char"/>
    <w:link w:val="Title"/>
    <w:rsid w:val="00483361"/>
    <w:rPr>
      <w:rFonts w:ascii="Calibri Light" w:eastAsia="Times New Roman" w:hAnsi="Calibri Light" w:cs="Times New Roman"/>
      <w:b/>
      <w:bCs/>
      <w:kern w:val="28"/>
      <w:sz w:val="32"/>
      <w:szCs w:val="32"/>
    </w:rPr>
  </w:style>
  <w:style w:type="character" w:styleId="UnresolvedMention">
    <w:name w:val="Unresolved Mention"/>
    <w:basedOn w:val="DefaultParagraphFont"/>
    <w:uiPriority w:val="99"/>
    <w:semiHidden/>
    <w:unhideWhenUsed/>
    <w:rsid w:val="00BC6E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63904">
      <w:bodyDiv w:val="1"/>
      <w:marLeft w:val="0"/>
      <w:marRight w:val="0"/>
      <w:marTop w:val="0"/>
      <w:marBottom w:val="0"/>
      <w:divBdr>
        <w:top w:val="none" w:sz="0" w:space="0" w:color="auto"/>
        <w:left w:val="none" w:sz="0" w:space="0" w:color="auto"/>
        <w:bottom w:val="none" w:sz="0" w:space="0" w:color="auto"/>
        <w:right w:val="none" w:sz="0" w:space="0" w:color="auto"/>
      </w:divBdr>
      <w:divsChild>
        <w:div w:id="216622936">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8278">
          <w:blockQuote w:val="1"/>
          <w:marLeft w:val="720"/>
          <w:marRight w:val="720"/>
          <w:marTop w:val="100"/>
          <w:marBottom w:val="100"/>
          <w:divBdr>
            <w:top w:val="none" w:sz="0" w:space="0" w:color="auto"/>
            <w:left w:val="none" w:sz="0" w:space="0" w:color="auto"/>
            <w:bottom w:val="none" w:sz="0" w:space="0" w:color="auto"/>
            <w:right w:val="none" w:sz="0" w:space="0" w:color="auto"/>
          </w:divBdr>
        </w:div>
        <w:div w:id="718866368">
          <w:blockQuote w:val="1"/>
          <w:marLeft w:val="720"/>
          <w:marRight w:val="720"/>
          <w:marTop w:val="100"/>
          <w:marBottom w:val="100"/>
          <w:divBdr>
            <w:top w:val="none" w:sz="0" w:space="0" w:color="auto"/>
            <w:left w:val="none" w:sz="0" w:space="0" w:color="auto"/>
            <w:bottom w:val="none" w:sz="0" w:space="0" w:color="auto"/>
            <w:right w:val="none" w:sz="0" w:space="0" w:color="auto"/>
          </w:divBdr>
        </w:div>
        <w:div w:id="755053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070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225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ms.treas.gov/cmia/regulation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m.dgs.ca.gov/TOC/8000/801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36BAC-8A09-40A3-AD73-BFF442EB8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560</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Cash Management Improvement Act of 1990</vt:lpstr>
    </vt:vector>
  </TitlesOfParts>
  <Company>State of California</Company>
  <LinksUpToDate>false</LinksUpToDate>
  <CharactersWithSpaces>3751</CharactersWithSpaces>
  <SharedDoc>false</SharedDoc>
  <HLinks>
    <vt:vector size="18" baseType="variant">
      <vt:variant>
        <vt:i4>1441810</vt:i4>
      </vt:variant>
      <vt:variant>
        <vt:i4>6</vt:i4>
      </vt:variant>
      <vt:variant>
        <vt:i4>0</vt:i4>
      </vt:variant>
      <vt:variant>
        <vt:i4>5</vt:i4>
      </vt:variant>
      <vt:variant>
        <vt:lpwstr>http://www.dof.ca.gov/FISA/FSCU/Training.htm</vt:lpwstr>
      </vt:variant>
      <vt:variant>
        <vt:lpwstr/>
      </vt:variant>
      <vt:variant>
        <vt:i4>3932199</vt:i4>
      </vt:variant>
      <vt:variant>
        <vt:i4>3</vt:i4>
      </vt:variant>
      <vt:variant>
        <vt:i4>0</vt:i4>
      </vt:variant>
      <vt:variant>
        <vt:i4>5</vt:i4>
      </vt:variant>
      <vt:variant>
        <vt:lpwstr>http://sam.dgs.ca.gov/TOC/8000/8010.htm</vt:lpwstr>
      </vt:variant>
      <vt:variant>
        <vt:lpwstr/>
      </vt:variant>
      <vt:variant>
        <vt:i4>2621558</vt:i4>
      </vt:variant>
      <vt:variant>
        <vt:i4>0</vt:i4>
      </vt:variant>
      <vt:variant>
        <vt:i4>0</vt:i4>
      </vt:variant>
      <vt:variant>
        <vt:i4>5</vt:i4>
      </vt:variant>
      <vt:variant>
        <vt:lpwstr>http://www.fms.treas.gov/cmia/regulations.html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Cash Management Improvement Act of 1990</dc:title>
  <dc:subject/>
  <dc:creator>Kathy Blackwell</dc:creator>
  <cp:keywords/>
  <cp:lastModifiedBy>Phon, Samorn</cp:lastModifiedBy>
  <cp:revision>7</cp:revision>
  <cp:lastPrinted>2019-09-24T21:01:00Z</cp:lastPrinted>
  <dcterms:created xsi:type="dcterms:W3CDTF">2024-07-23T18:56:00Z</dcterms:created>
  <dcterms:modified xsi:type="dcterms:W3CDTF">2025-07-03T21:24:00Z</dcterms:modified>
</cp:coreProperties>
</file>